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820"/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0"/>
        <w:gridCol w:w="6"/>
      </w:tblGrid>
      <w:tr w:rsidR="00487143" w:rsidRPr="00F80AA3" w:rsidTr="00487143">
        <w:tc>
          <w:tcPr>
            <w:tcW w:w="3750" w:type="pct"/>
          </w:tcPr>
          <w:p w:rsidR="00487143" w:rsidRPr="00F80AA3" w:rsidRDefault="00487143" w:rsidP="00487143">
            <w:pPr>
              <w:pStyle w:val="Header"/>
              <w:rPr>
                <w:rFonts w:ascii="Lucida Console" w:hAnsi="Lucida Console"/>
                <w:b/>
                <w:i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532765</wp:posOffset>
                      </wp:positionV>
                      <wp:extent cx="6410325" cy="1270635"/>
                      <wp:effectExtent l="0" t="0" r="9525" b="7620"/>
                      <wp:wrapTopAndBottom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0325" cy="1270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7D1" w:rsidRPr="00F80AA3" w:rsidRDefault="00F80AA3" w:rsidP="00F80AA3">
                                  <w:pPr>
                                    <w:spacing w:after="0" w:line="240" w:lineRule="auto"/>
                                    <w:rPr>
                                      <w:rFonts w:ascii="Aharoni" w:hAnsi="Aharoni" w:cs="Aharon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ucida Console" w:hAnsi="Lucida Console"/>
                                    </w:rPr>
                                    <w:t xml:space="preserve">  </w:t>
                                  </w:r>
                                  <w:r w:rsidRPr="00F80AA3">
                                    <w:rPr>
                                      <w:rFonts w:ascii="Aharoni" w:hAnsi="Aharoni" w:cs="Aharoni"/>
                                      <w:sz w:val="28"/>
                                      <w:szCs w:val="28"/>
                                    </w:rPr>
                                    <w:t>Condominium Association</w:t>
                                  </w:r>
                                </w:p>
                                <w:p w:rsidR="00F80AA3" w:rsidRPr="00F80AA3" w:rsidRDefault="00F80AA3" w:rsidP="00F80AA3">
                                  <w:pPr>
                                    <w:spacing w:after="0" w:line="240" w:lineRule="auto"/>
                                    <w:rPr>
                                      <w:rFonts w:ascii="Aharoni" w:hAnsi="Aharoni" w:cs="Aharoni"/>
                                      <w:sz w:val="28"/>
                                      <w:szCs w:val="28"/>
                                    </w:rPr>
                                  </w:pPr>
                                  <w:r w:rsidRPr="00F80AA3">
                                    <w:rPr>
                                      <w:rFonts w:ascii="Aharoni" w:hAnsi="Aharoni" w:cs="Aharoni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haroni" w:hAnsi="Aharoni" w:cs="Aharon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80AA3">
                                    <w:rPr>
                                      <w:rFonts w:ascii="Aharoni" w:hAnsi="Aharoni" w:cs="Aharoni"/>
                                      <w:sz w:val="28"/>
                                      <w:szCs w:val="28"/>
                                    </w:rPr>
                                    <w:t>25901 Hickory Blvd. S</w:t>
                                  </w:r>
                                  <w:r>
                                    <w:rPr>
                                      <w:rFonts w:ascii="Aharoni" w:hAnsi="Aharoni" w:cs="Aharon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F80AA3">
                                    <w:rPr>
                                      <w:rFonts w:ascii="Aharoni" w:hAnsi="Aharoni" w:cs="Aharoni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haroni" w:hAnsi="Aharoni" w:cs="Aharon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F80AA3" w:rsidRPr="00F80AA3" w:rsidRDefault="00F80AA3" w:rsidP="00F80AA3">
                                  <w:pPr>
                                    <w:spacing w:after="0" w:line="240" w:lineRule="auto"/>
                                    <w:rPr>
                                      <w:rFonts w:ascii="Aharoni" w:hAnsi="Aharoni" w:cs="Aharon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haroni" w:hAnsi="Aharoni" w:cs="Aharoni"/>
                                      <w:sz w:val="28"/>
                                      <w:szCs w:val="28"/>
                                    </w:rPr>
                                    <w:t xml:space="preserve">   B</w:t>
                                  </w:r>
                                  <w:r w:rsidRPr="00F80AA3">
                                    <w:rPr>
                                      <w:rFonts w:ascii="Aharoni" w:hAnsi="Aharoni" w:cs="Aharoni"/>
                                      <w:sz w:val="28"/>
                                      <w:szCs w:val="28"/>
                                    </w:rPr>
                                    <w:t>onita Springs, Florida 34134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15000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41.95pt;width:504.75pt;height:100.05pt;z-index:251659264;visibility:visible;mso-wrap-style:square;mso-width-percent:0;mso-height-percent:15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" o:allowoverlap="f" filled="f" stroked="f" strokeweight=".5pt">
                      <v:textbox style="mso-fit-shape-to-text:t" inset="0,0,0,0">
                        <w:txbxContent>
                          <w:p w:rsidR="00DD17D1" w:rsidRPr="00F80AA3" w:rsidRDefault="00F80AA3" w:rsidP="00F80AA3">
                            <w:pPr>
                              <w:spacing w:after="0" w:line="240" w:lineRule="auto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onsole" w:hAnsi="Lucida Console"/>
                              </w:rPr>
                              <w:t xml:space="preserve">  </w:t>
                            </w:r>
                            <w:r w:rsidRPr="00F80AA3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Condominium Association</w:t>
                            </w:r>
                          </w:p>
                          <w:p w:rsidR="00F80AA3" w:rsidRPr="00F80AA3" w:rsidRDefault="00F80AA3" w:rsidP="00F80AA3">
                            <w:pPr>
                              <w:spacing w:after="0" w:line="240" w:lineRule="auto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F80AA3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0AA3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25901 Hickory Blvd. S</w:t>
                            </w: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.</w:t>
                            </w:r>
                            <w:r w:rsidRPr="00F80AA3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0AA3" w:rsidRPr="00F80AA3" w:rsidRDefault="00F80AA3" w:rsidP="00F80AA3">
                            <w:pPr>
                              <w:spacing w:after="0" w:line="240" w:lineRule="auto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   B</w:t>
                            </w:r>
                            <w:r w:rsidRPr="00F80AA3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onita Springs, Florida 34134</w:t>
                            </w:r>
                          </w:p>
                        </w:txbxContent>
                      </v:textbox>
                      <w10:wrap type="topAndBottom" anchorx="margin" anchory="page"/>
                    </v:shape>
                  </w:pict>
                </mc:Fallback>
              </mc:AlternateContent>
            </w:r>
            <w:r w:rsidRPr="00F80AA3">
              <w:rPr>
                <w:rFonts w:ascii="Lucida Console" w:hAnsi="Lucida Console"/>
                <w:b/>
                <w:i/>
                <w:sz w:val="72"/>
                <w:szCs w:val="72"/>
              </w:rPr>
              <w:t>C</w:t>
            </w:r>
            <w:r w:rsidRPr="00F80AA3">
              <w:rPr>
                <w:rFonts w:ascii="Lucida Console" w:hAnsi="Lucida Console"/>
                <w:b/>
                <w:i/>
                <w:sz w:val="36"/>
                <w:szCs w:val="36"/>
              </w:rPr>
              <w:t xml:space="preserve">asa </w:t>
            </w:r>
            <w:r w:rsidRPr="00F80AA3">
              <w:rPr>
                <w:rFonts w:ascii="Lucida Console" w:hAnsi="Lucida Console"/>
                <w:b/>
                <w:i/>
                <w:sz w:val="72"/>
                <w:szCs w:val="72"/>
              </w:rPr>
              <w:t>B</w:t>
            </w:r>
            <w:r w:rsidRPr="00F80AA3">
              <w:rPr>
                <w:rFonts w:ascii="Lucida Console" w:hAnsi="Lucida Console"/>
                <w:b/>
                <w:i/>
                <w:sz w:val="36"/>
                <w:szCs w:val="36"/>
              </w:rPr>
              <w:t xml:space="preserve">onita </w:t>
            </w:r>
            <w:r w:rsidRPr="00F80AA3">
              <w:rPr>
                <w:rFonts w:ascii="Lucida Console" w:hAnsi="Lucida Console"/>
                <w:b/>
                <w:i/>
                <w:sz w:val="72"/>
                <w:szCs w:val="72"/>
              </w:rPr>
              <w:t>R</w:t>
            </w:r>
            <w:r w:rsidRPr="00F80AA3">
              <w:rPr>
                <w:rFonts w:ascii="Lucida Console" w:hAnsi="Lucida Console"/>
                <w:b/>
                <w:i/>
                <w:sz w:val="36"/>
                <w:szCs w:val="36"/>
              </w:rPr>
              <w:t>oyale</w:t>
            </w:r>
          </w:p>
        </w:tc>
        <w:tc>
          <w:tcPr>
            <w:tcW w:w="1250" w:type="pct"/>
          </w:tcPr>
          <w:p w:rsidR="00487143" w:rsidRPr="00F80AA3" w:rsidRDefault="00487143" w:rsidP="00487143">
            <w:pPr>
              <w:pStyle w:val="Header"/>
              <w:jc w:val="right"/>
              <w:rPr>
                <w:rFonts w:ascii="Lucida Console" w:hAnsi="Lucida Console"/>
              </w:rPr>
            </w:pPr>
            <w:r w:rsidRPr="00F80AA3">
              <w:rPr>
                <w:rFonts w:ascii="Lucida Console" w:hAnsi="Lucida Console"/>
                <w:noProof/>
              </w:rPr>
              <w:t xml:space="preserve"> </w:t>
            </w:r>
          </w:p>
        </w:tc>
      </w:tr>
    </w:tbl>
    <w:p w:rsidR="00487143" w:rsidRDefault="00487143" w:rsidP="00487143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487143" w:rsidRDefault="00487143" w:rsidP="00487143">
      <w:pPr>
        <w:spacing w:after="0" w:line="240" w:lineRule="auto"/>
        <w:jc w:val="center"/>
      </w:pPr>
      <w:r w:rsidRPr="00B41EE1">
        <w:rPr>
          <w:b/>
          <w:sz w:val="32"/>
          <w:szCs w:val="32"/>
          <w:u w:val="single"/>
        </w:rPr>
        <w:t xml:space="preserve">Annual </w:t>
      </w:r>
      <w:r w:rsidRPr="00B41EE1">
        <w:rPr>
          <w:b/>
          <w:sz w:val="28"/>
          <w:szCs w:val="28"/>
          <w:u w:val="single"/>
        </w:rPr>
        <w:t>Meeting</w:t>
      </w:r>
      <w:r>
        <w:rPr>
          <w:b/>
          <w:sz w:val="28"/>
          <w:szCs w:val="28"/>
          <w:u w:val="single"/>
        </w:rPr>
        <w:t xml:space="preserve"> Minutes</w:t>
      </w:r>
    </w:p>
    <w:p w:rsidR="00487143" w:rsidRDefault="00487143" w:rsidP="00684A32">
      <w:pPr>
        <w:spacing w:after="0" w:line="240" w:lineRule="auto"/>
        <w:jc w:val="center"/>
      </w:pPr>
      <w:r>
        <w:t>Date:  Monday February 1</w:t>
      </w:r>
      <w:r w:rsidR="00684A32">
        <w:t>1, 2019</w:t>
      </w:r>
    </w:p>
    <w:p w:rsidR="00487143" w:rsidRDefault="00487143" w:rsidP="00487143">
      <w:pPr>
        <w:spacing w:after="0" w:line="240" w:lineRule="auto"/>
        <w:jc w:val="center"/>
      </w:pPr>
      <w:r>
        <w:t>Place:  CRB Community Room</w:t>
      </w:r>
    </w:p>
    <w:p w:rsidR="00487143" w:rsidRDefault="00487143" w:rsidP="00487143">
      <w:pPr>
        <w:spacing w:after="0" w:line="240" w:lineRule="auto"/>
        <w:jc w:val="center"/>
      </w:pPr>
      <w:r>
        <w:t>Time 7:00 pm</w:t>
      </w:r>
    </w:p>
    <w:p w:rsidR="00684A32" w:rsidRDefault="00684A32" w:rsidP="00487143">
      <w:pPr>
        <w:spacing w:after="0" w:line="240" w:lineRule="auto"/>
        <w:jc w:val="center"/>
      </w:pPr>
    </w:p>
    <w:p w:rsidR="00487143" w:rsidRPr="009B5DEE" w:rsidRDefault="00487143" w:rsidP="00487143">
      <w:pPr>
        <w:jc w:val="center"/>
        <w:rPr>
          <w:b/>
          <w:sz w:val="32"/>
          <w:szCs w:val="32"/>
          <w:u w:val="single"/>
        </w:rPr>
      </w:pPr>
      <w:r w:rsidRPr="009B5DEE">
        <w:rPr>
          <w:b/>
          <w:sz w:val="32"/>
          <w:szCs w:val="32"/>
          <w:u w:val="single"/>
        </w:rPr>
        <w:t>AGENDA</w:t>
      </w:r>
    </w:p>
    <w:p w:rsidR="00487143" w:rsidRDefault="00487143" w:rsidP="00487143">
      <w:pPr>
        <w:pStyle w:val="ListParagraph"/>
        <w:numPr>
          <w:ilvl w:val="0"/>
          <w:numId w:val="1"/>
        </w:numPr>
        <w:spacing w:line="360" w:lineRule="auto"/>
      </w:pPr>
      <w:r>
        <w:t xml:space="preserve">The meeting was called to order by President Lee </w:t>
      </w:r>
      <w:r w:rsidR="00E70DDF">
        <w:t>Christoferson</w:t>
      </w:r>
      <w:r>
        <w:t xml:space="preserve"> at 7:</w:t>
      </w:r>
      <w:r w:rsidR="00684A32">
        <w:t>15</w:t>
      </w:r>
      <w:r>
        <w:t>.</w:t>
      </w:r>
    </w:p>
    <w:p w:rsidR="00487143" w:rsidRDefault="00487143" w:rsidP="00487143">
      <w:pPr>
        <w:pStyle w:val="ListParagraph"/>
        <w:numPr>
          <w:ilvl w:val="0"/>
          <w:numId w:val="1"/>
        </w:numPr>
        <w:contextualSpacing w:val="0"/>
      </w:pPr>
      <w:r>
        <w:t>Sandy Matava, Secretary called the role and Lee Christoferson, President certified the proxies. Twenty-nine owners were present by proxy or in person which constitutes a quorum to conduct business.</w:t>
      </w:r>
    </w:p>
    <w:p w:rsidR="00487143" w:rsidRDefault="00487143" w:rsidP="00487143">
      <w:pPr>
        <w:pStyle w:val="ListParagraph"/>
        <w:numPr>
          <w:ilvl w:val="0"/>
          <w:numId w:val="1"/>
        </w:numPr>
      </w:pPr>
      <w:r>
        <w:t>Notation was made of first and second notice of the meeting that had been mailed to the owners.  Notices were post onsite at CBR for a three week period.</w:t>
      </w:r>
    </w:p>
    <w:p w:rsidR="00487143" w:rsidRDefault="00487143" w:rsidP="00487143">
      <w:pPr>
        <w:pStyle w:val="ListParagraph"/>
      </w:pPr>
    </w:p>
    <w:p w:rsidR="00487143" w:rsidRDefault="00487143" w:rsidP="00487143">
      <w:pPr>
        <w:pStyle w:val="ListParagraph"/>
        <w:numPr>
          <w:ilvl w:val="0"/>
          <w:numId w:val="1"/>
        </w:numPr>
      </w:pPr>
      <w:r>
        <w:t xml:space="preserve">As there were only five owners who notified the Association of their desire to run for the Board of Directors, no actual balloting was required. Lee Christoferson, Richard Lovett, </w:t>
      </w:r>
      <w:r w:rsidR="00684A32">
        <w:t>Doug McIntyre</w:t>
      </w:r>
      <w:r>
        <w:t xml:space="preserve">, Susie Williams, and Sandy Matava will serve as the Board of Directors for the coming year.  </w:t>
      </w:r>
    </w:p>
    <w:p w:rsidR="00487143" w:rsidRDefault="00487143" w:rsidP="00487143">
      <w:pPr>
        <w:pStyle w:val="ListParagraph"/>
      </w:pPr>
    </w:p>
    <w:p w:rsidR="00487143" w:rsidRDefault="00487143" w:rsidP="00487143">
      <w:pPr>
        <w:pStyle w:val="ListParagraph"/>
        <w:numPr>
          <w:ilvl w:val="0"/>
          <w:numId w:val="1"/>
        </w:numPr>
      </w:pPr>
      <w:r>
        <w:t>Committee Reports:</w:t>
      </w:r>
    </w:p>
    <w:p w:rsidR="00487143" w:rsidRDefault="00487143" w:rsidP="00487143">
      <w:pPr>
        <w:pStyle w:val="ListParagraph"/>
        <w:numPr>
          <w:ilvl w:val="0"/>
          <w:numId w:val="2"/>
        </w:numPr>
      </w:pPr>
      <w:r w:rsidRPr="00650331">
        <w:rPr>
          <w:b/>
        </w:rPr>
        <w:t>SOCIAL COMMITTEE</w:t>
      </w:r>
      <w:r>
        <w:t xml:space="preserve">:  </w:t>
      </w:r>
      <w:r w:rsidR="00684A32">
        <w:t>Susie Freeman reported that the social events to date have been most successful and o</w:t>
      </w:r>
      <w:r>
        <w:t>ur annual St. Patrick’s Day parade and dinner</w:t>
      </w:r>
      <w:r w:rsidR="00684A32">
        <w:t xml:space="preserve"> is scheduled for March 17</w:t>
      </w:r>
      <w:r w:rsidR="00684A32" w:rsidRPr="00684A32">
        <w:rPr>
          <w:vertAlign w:val="superscript"/>
        </w:rPr>
        <w:t>th</w:t>
      </w:r>
      <w:r w:rsidR="00684A32">
        <w:t xml:space="preserve">…a reminder that Renters are always welcome at CBR parties.  </w:t>
      </w:r>
      <w:r>
        <w:t xml:space="preserve"> </w:t>
      </w:r>
    </w:p>
    <w:p w:rsidR="00487143" w:rsidRDefault="00487143" w:rsidP="00487143">
      <w:pPr>
        <w:pStyle w:val="ListParagraph"/>
        <w:ind w:left="1440"/>
      </w:pPr>
    </w:p>
    <w:p w:rsidR="00487143" w:rsidRDefault="00487143" w:rsidP="00487143">
      <w:pPr>
        <w:pStyle w:val="ListParagraph"/>
        <w:numPr>
          <w:ilvl w:val="0"/>
          <w:numId w:val="2"/>
        </w:numPr>
      </w:pPr>
      <w:r w:rsidRPr="00650331">
        <w:rPr>
          <w:b/>
        </w:rPr>
        <w:t>BUILDING AND GROUNDS</w:t>
      </w:r>
      <w:r>
        <w:t>:  Rick Lovett reported on the successful completion of several building &amp; grounds projects</w:t>
      </w:r>
      <w:r w:rsidR="00684A32">
        <w:t xml:space="preserve">:  </w:t>
      </w:r>
      <w:r w:rsidR="00CE6FAE">
        <w:t xml:space="preserve">those include updated elevators </w:t>
      </w:r>
      <w:r w:rsidR="00684A32">
        <w:t xml:space="preserve"> with new flooring, ceiling and lighting; the sundeck has finally been untiled and resurfaced </w:t>
      </w:r>
      <w:r w:rsidR="00684A32" w:rsidRPr="00CE6FAE">
        <w:rPr>
          <w:highlight w:val="yellow"/>
        </w:rPr>
        <w:t xml:space="preserve">(NOTE:  Door stops for units 203, 204 and 205 have to be reinstalled to fit the </w:t>
      </w:r>
      <w:r w:rsidR="00CE6FAE" w:rsidRPr="00CE6FAE">
        <w:rPr>
          <w:highlight w:val="yellow"/>
        </w:rPr>
        <w:t>thinner</w:t>
      </w:r>
      <w:r w:rsidR="00684A32" w:rsidRPr="00CE6FAE">
        <w:rPr>
          <w:highlight w:val="yellow"/>
        </w:rPr>
        <w:t xml:space="preserve"> floor covering.</w:t>
      </w:r>
      <w:r w:rsidR="00CE6FAE" w:rsidRPr="00CE6FAE">
        <w:rPr>
          <w:highlight w:val="yellow"/>
        </w:rPr>
        <w:t>)</w:t>
      </w:r>
      <w:r>
        <w:t>The members present, expressed their thanks to the Board for the improved look of CBR…you are welcome!</w:t>
      </w:r>
    </w:p>
    <w:p w:rsidR="00487143" w:rsidRDefault="00487143" w:rsidP="00487143">
      <w:pPr>
        <w:pStyle w:val="ListParagraph"/>
        <w:ind w:left="1440"/>
      </w:pPr>
    </w:p>
    <w:p w:rsidR="00487143" w:rsidRDefault="00487143" w:rsidP="00487143">
      <w:pPr>
        <w:pStyle w:val="ListParagraph"/>
        <w:numPr>
          <w:ilvl w:val="0"/>
          <w:numId w:val="2"/>
        </w:numPr>
      </w:pPr>
      <w:r w:rsidRPr="00650331">
        <w:rPr>
          <w:b/>
        </w:rPr>
        <w:t>HOUSEKEEPING:</w:t>
      </w:r>
      <w:r>
        <w:t xml:space="preserve">  Jane Christoferson reported that Maria has continued to handle the condo cleaning.  She has been very efficient and responsible in her work, and is open to suggestions.   </w:t>
      </w:r>
    </w:p>
    <w:p w:rsidR="00487143" w:rsidRDefault="00487143" w:rsidP="00487143">
      <w:pPr>
        <w:pStyle w:val="ListParagraph"/>
        <w:ind w:left="1440"/>
      </w:pPr>
    </w:p>
    <w:p w:rsidR="00CE6FAE" w:rsidRDefault="00487143" w:rsidP="00487143">
      <w:pPr>
        <w:pStyle w:val="ListParagraph"/>
        <w:numPr>
          <w:ilvl w:val="0"/>
          <w:numId w:val="2"/>
        </w:numPr>
      </w:pPr>
      <w:r w:rsidRPr="00650331">
        <w:rPr>
          <w:b/>
        </w:rPr>
        <w:t>SUMMER SECURITY:</w:t>
      </w:r>
      <w:r>
        <w:t xml:space="preserve">  Lee Christoferson expressed gratitude to the </w:t>
      </w:r>
      <w:proofErr w:type="spellStart"/>
      <w:r>
        <w:t>Bachmans</w:t>
      </w:r>
      <w:proofErr w:type="spellEnd"/>
      <w:r>
        <w:t xml:space="preserve"> for </w:t>
      </w:r>
      <w:r w:rsidR="00CE6FAE">
        <w:t xml:space="preserve">once </w:t>
      </w:r>
      <w:r>
        <w:t>allowing Ken to stay in their unit over the summer.  It has been very supportive to off season residents and has been a benefit of all owners</w:t>
      </w:r>
      <w:r w:rsidR="00CE6FAE">
        <w:t>.</w:t>
      </w:r>
      <w:r w:rsidR="0085249B">
        <w:t xml:space="preserve">  Boat owners are reminded to thoroughly secure their boats to prevent possible thefts, particularly of electronic equipment.</w:t>
      </w:r>
    </w:p>
    <w:p w:rsidR="00CE6FAE" w:rsidRDefault="00CE6FAE" w:rsidP="00CE6FAE">
      <w:pPr>
        <w:pStyle w:val="ListParagraph"/>
      </w:pPr>
    </w:p>
    <w:p w:rsidR="00487143" w:rsidRDefault="00487143" w:rsidP="00CE6FAE">
      <w:pPr>
        <w:pStyle w:val="ListParagraph"/>
        <w:ind w:left="1440"/>
      </w:pPr>
      <w:r>
        <w:lastRenderedPageBreak/>
        <w:t xml:space="preserve"> </w:t>
      </w:r>
    </w:p>
    <w:p w:rsidR="00487143" w:rsidRDefault="00487143" w:rsidP="00487143">
      <w:pPr>
        <w:pStyle w:val="ListParagraph"/>
        <w:numPr>
          <w:ilvl w:val="0"/>
          <w:numId w:val="2"/>
        </w:numPr>
      </w:pPr>
      <w:r w:rsidRPr="00650331">
        <w:rPr>
          <w:b/>
        </w:rPr>
        <w:t>INSURANCE:</w:t>
      </w:r>
      <w:r>
        <w:t xml:space="preserve">  Lee Christoferson </w:t>
      </w:r>
      <w:r w:rsidR="0085249B">
        <w:t>reported that our Insurance Agents (Brown and Brown) have been very vigilant in researching the most effective carrier for our property.  As a result, he expects that the cost will remain at the same relative price as last year and as projected in the budget.</w:t>
      </w:r>
    </w:p>
    <w:p w:rsidR="00487143" w:rsidRDefault="00487143" w:rsidP="00487143">
      <w:pPr>
        <w:pStyle w:val="ListParagraph"/>
        <w:ind w:left="1440"/>
      </w:pPr>
    </w:p>
    <w:p w:rsidR="00487143" w:rsidRDefault="00487143" w:rsidP="00487143">
      <w:pPr>
        <w:pStyle w:val="ListParagraph"/>
        <w:numPr>
          <w:ilvl w:val="0"/>
          <w:numId w:val="2"/>
        </w:numPr>
      </w:pPr>
      <w:r w:rsidRPr="00650331">
        <w:rPr>
          <w:b/>
        </w:rPr>
        <w:t>DOCKS:</w:t>
      </w:r>
      <w:r>
        <w:t xml:space="preserve">  </w:t>
      </w:r>
      <w:r w:rsidR="0085249B">
        <w:t xml:space="preserve"> </w:t>
      </w:r>
      <w:r>
        <w:t xml:space="preserve">There remains some work needed to upgrade the power outlets.   </w:t>
      </w:r>
    </w:p>
    <w:p w:rsidR="00487143" w:rsidRDefault="00487143" w:rsidP="00487143">
      <w:pPr>
        <w:pStyle w:val="ListParagraph"/>
      </w:pPr>
    </w:p>
    <w:p w:rsidR="00487143" w:rsidRDefault="00487143" w:rsidP="00487143">
      <w:pPr>
        <w:pStyle w:val="ListParagraph"/>
        <w:numPr>
          <w:ilvl w:val="0"/>
          <w:numId w:val="2"/>
        </w:numPr>
      </w:pPr>
      <w:r>
        <w:t xml:space="preserve"> </w:t>
      </w:r>
      <w:r w:rsidRPr="003C5F50">
        <w:rPr>
          <w:b/>
        </w:rPr>
        <w:t>PAST PROJECTS:</w:t>
      </w:r>
      <w:r>
        <w:t xml:space="preserve">  In addition to the projects reported by Rick Lovett, there has been significant landscaping work completed this </w:t>
      </w:r>
      <w:proofErr w:type="gramStart"/>
      <w:r>
        <w:t>Fall</w:t>
      </w:r>
      <w:proofErr w:type="gramEnd"/>
      <w:r w:rsidR="0085249B">
        <w:t xml:space="preserve"> and Spring.</w:t>
      </w:r>
      <w:r>
        <w:t xml:space="preserve">  Sandy Matava reported</w:t>
      </w:r>
      <w:r w:rsidR="0085249B">
        <w:t xml:space="preserve"> that the work</w:t>
      </w:r>
      <w:r>
        <w:t xml:space="preserve"> is part of our multi-year upgrading project.</w:t>
      </w:r>
    </w:p>
    <w:p w:rsidR="00487143" w:rsidRDefault="00487143" w:rsidP="00487143">
      <w:pPr>
        <w:pStyle w:val="ListParagraph"/>
      </w:pPr>
    </w:p>
    <w:p w:rsidR="00487143" w:rsidRPr="00AB51B8" w:rsidRDefault="00487143" w:rsidP="00487143">
      <w:pPr>
        <w:pStyle w:val="ListParagraph"/>
        <w:numPr>
          <w:ilvl w:val="0"/>
          <w:numId w:val="2"/>
        </w:numPr>
        <w:rPr>
          <w:b/>
        </w:rPr>
      </w:pPr>
      <w:r w:rsidRPr="003C5F50">
        <w:rPr>
          <w:b/>
        </w:rPr>
        <w:t xml:space="preserve">FUTURE PROJECTS:   </w:t>
      </w:r>
      <w:r w:rsidR="0085249B">
        <w:t xml:space="preserve"> Projects include replaceing the white tile on the first floor, upgrading the entranceways, and replacing the 3 panel/thin windows on all the floors in the hallways.  </w:t>
      </w:r>
      <w:r w:rsidR="0085249B" w:rsidRPr="0085249B">
        <w:rPr>
          <w:highlight w:val="yellow"/>
        </w:rPr>
        <w:t>REMINDER:  ALL</w:t>
      </w:r>
      <w:r w:rsidRPr="0085249B">
        <w:rPr>
          <w:highlight w:val="yellow"/>
        </w:rPr>
        <w:t xml:space="preserve"> renovation projects must be reviewed by the Board and can only be undertaken between May and October.</w:t>
      </w:r>
    </w:p>
    <w:p w:rsidR="00487143" w:rsidRPr="003C5F50" w:rsidRDefault="00487143" w:rsidP="00487143">
      <w:pPr>
        <w:pStyle w:val="ListParagraph"/>
        <w:ind w:left="1440"/>
        <w:rPr>
          <w:b/>
        </w:rPr>
      </w:pPr>
    </w:p>
    <w:p w:rsidR="00487143" w:rsidRDefault="00487143" w:rsidP="00487143">
      <w:pPr>
        <w:pStyle w:val="ListParagraph"/>
        <w:numPr>
          <w:ilvl w:val="0"/>
          <w:numId w:val="1"/>
        </w:numPr>
      </w:pPr>
      <w:r>
        <w:t xml:space="preserve"> The minutes of the last Annual Meeting (2/</w:t>
      </w:r>
      <w:r w:rsidR="0085249B">
        <w:t>12/18</w:t>
      </w:r>
      <w:r>
        <w:t>) were approved on a voice vote</w:t>
      </w:r>
    </w:p>
    <w:p w:rsidR="00487143" w:rsidRDefault="00487143" w:rsidP="00487143">
      <w:pPr>
        <w:pStyle w:val="ListParagraph"/>
      </w:pPr>
    </w:p>
    <w:p w:rsidR="00487143" w:rsidRDefault="00487143" w:rsidP="00487143">
      <w:pPr>
        <w:pStyle w:val="ListParagraph"/>
        <w:numPr>
          <w:ilvl w:val="0"/>
          <w:numId w:val="1"/>
        </w:numPr>
      </w:pPr>
      <w:r>
        <w:t xml:space="preserve">Treasurer’s Report:  All bills are up to date.  Tom prepared a comprehensive budget report for 2017.  It is attached. </w:t>
      </w:r>
      <w:r w:rsidR="00E70DDF">
        <w:t xml:space="preserve"> Tom is leaving the Board and all expressed their gratitude for his excellent service as our Treasurer.</w:t>
      </w:r>
      <w:bookmarkStart w:id="0" w:name="_GoBack"/>
      <w:bookmarkEnd w:id="0"/>
    </w:p>
    <w:p w:rsidR="00487143" w:rsidRDefault="00487143" w:rsidP="00487143">
      <w:pPr>
        <w:pStyle w:val="ListParagraph"/>
      </w:pPr>
    </w:p>
    <w:p w:rsidR="00487143" w:rsidRDefault="00487143" w:rsidP="00487143">
      <w:pPr>
        <w:pStyle w:val="ListParagraph"/>
        <w:numPr>
          <w:ilvl w:val="0"/>
          <w:numId w:val="1"/>
        </w:numPr>
      </w:pPr>
      <w:r>
        <w:t>The members voted 29-0 to roll over Excess Funds.</w:t>
      </w:r>
    </w:p>
    <w:p w:rsidR="00487143" w:rsidRDefault="00487143" w:rsidP="00487143">
      <w:pPr>
        <w:pStyle w:val="ListParagraph"/>
      </w:pPr>
    </w:p>
    <w:p w:rsidR="00487143" w:rsidRDefault="00487143" w:rsidP="00487143">
      <w:pPr>
        <w:pStyle w:val="ListParagraph"/>
        <w:numPr>
          <w:ilvl w:val="0"/>
          <w:numId w:val="1"/>
        </w:numPr>
      </w:pPr>
      <w:r>
        <w:t>The members voted 29-0 to Place All Reserve Funding for 201</w:t>
      </w:r>
      <w:r w:rsidR="0085249B">
        <w:t>8</w:t>
      </w:r>
      <w:r>
        <w:t xml:space="preserve"> in an Unallocated Reserve.</w:t>
      </w:r>
    </w:p>
    <w:p w:rsidR="00487143" w:rsidRDefault="00487143" w:rsidP="00487143">
      <w:pPr>
        <w:pStyle w:val="ListParagraph"/>
      </w:pPr>
    </w:p>
    <w:p w:rsidR="00487143" w:rsidRDefault="00487143" w:rsidP="00487143">
      <w:pPr>
        <w:pStyle w:val="ListParagraph"/>
        <w:numPr>
          <w:ilvl w:val="0"/>
          <w:numId w:val="1"/>
        </w:numPr>
      </w:pPr>
      <w:r>
        <w:t xml:space="preserve">The members voted </w:t>
      </w:r>
      <w:r w:rsidR="0085249B">
        <w:t>29-1</w:t>
      </w:r>
      <w:r>
        <w:t xml:space="preserve"> to waive the requirement to schedule an audit for FY 201</w:t>
      </w:r>
      <w:r w:rsidR="0085249B">
        <w:t>9</w:t>
      </w:r>
      <w:r>
        <w:t>.</w:t>
      </w:r>
    </w:p>
    <w:p w:rsidR="00487143" w:rsidRDefault="00487143" w:rsidP="00487143">
      <w:pPr>
        <w:pStyle w:val="ListParagraph"/>
      </w:pPr>
    </w:p>
    <w:p w:rsidR="00487143" w:rsidRDefault="00487143" w:rsidP="00487143">
      <w:pPr>
        <w:pStyle w:val="ListParagraph"/>
        <w:numPr>
          <w:ilvl w:val="0"/>
          <w:numId w:val="1"/>
        </w:numPr>
      </w:pPr>
      <w:r>
        <w:t xml:space="preserve"> </w:t>
      </w:r>
      <w:r w:rsidR="00D97163">
        <w:t xml:space="preserve">New Business:  The Board began a discussion to put some of the association’s reserves into “laddered” CDs in $50k increments.   </w:t>
      </w:r>
    </w:p>
    <w:p w:rsidR="00487143" w:rsidRDefault="00487143" w:rsidP="00487143">
      <w:pPr>
        <w:pStyle w:val="ListParagraph"/>
      </w:pPr>
    </w:p>
    <w:p w:rsidR="00487143" w:rsidRDefault="00487143" w:rsidP="00487143">
      <w:pPr>
        <w:pStyle w:val="ListParagraph"/>
        <w:numPr>
          <w:ilvl w:val="0"/>
          <w:numId w:val="1"/>
        </w:numPr>
      </w:pPr>
      <w:r>
        <w:t xml:space="preserve">The meeting was adjourned at approximately </w:t>
      </w:r>
      <w:r w:rsidR="00D97163">
        <w:t>7:45</w:t>
      </w:r>
      <w:r>
        <w:t>pm.</w:t>
      </w:r>
    </w:p>
    <w:p w:rsidR="00DD17D1" w:rsidRDefault="006B2551" w:rsidP="00F80AA3">
      <w:pPr>
        <w:pStyle w:val="Date"/>
      </w:pPr>
      <w:r w:rsidRPr="006B2551">
        <w:rPr>
          <w:noProof/>
        </w:rPr>
        <w:lastRenderedPageBreak/>
        <w:drawing>
          <wp:inline distT="0" distB="0" distL="0" distR="0">
            <wp:extent cx="6400800" cy="8285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28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17D1">
      <w:footerReference w:type="default" r:id="rId10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AA3" w:rsidRDefault="00F80AA3">
      <w:pPr>
        <w:spacing w:after="0" w:line="240" w:lineRule="auto"/>
      </w:pPr>
      <w:r>
        <w:separator/>
      </w:r>
    </w:p>
  </w:endnote>
  <w:endnote w:type="continuationSeparator" w:id="0">
    <w:p w:rsidR="00F80AA3" w:rsidRDefault="00F8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D1" w:rsidRDefault="00F80AA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70DD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AA3" w:rsidRDefault="00F80AA3">
      <w:pPr>
        <w:spacing w:after="0" w:line="240" w:lineRule="auto"/>
      </w:pPr>
      <w:r>
        <w:separator/>
      </w:r>
    </w:p>
  </w:footnote>
  <w:footnote w:type="continuationSeparator" w:id="0">
    <w:p w:rsidR="00F80AA3" w:rsidRDefault="00F80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5777C"/>
    <w:multiLevelType w:val="hybridMultilevel"/>
    <w:tmpl w:val="EE52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80C86"/>
    <w:multiLevelType w:val="hybridMultilevel"/>
    <w:tmpl w:val="2E76D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A3"/>
    <w:rsid w:val="00487143"/>
    <w:rsid w:val="00684A32"/>
    <w:rsid w:val="006B2551"/>
    <w:rsid w:val="00775F67"/>
    <w:rsid w:val="0085249B"/>
    <w:rsid w:val="00BE40C8"/>
    <w:rsid w:val="00CE6FAE"/>
    <w:rsid w:val="00D97163"/>
    <w:rsid w:val="00DD17D1"/>
    <w:rsid w:val="00E70DDF"/>
    <w:rsid w:val="00F8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1A58FCC-DEE3-4B92-A3EC-D1C037C7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143"/>
    <w:pPr>
      <w:spacing w:before="0" w:line="259" w:lineRule="auto"/>
    </w:pPr>
    <w:rPr>
      <w:color w:val="auto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ListParagraph">
    <w:name w:val="List Paragraph"/>
    <w:basedOn w:val="Normal"/>
    <w:uiPriority w:val="34"/>
    <w:qFormat/>
    <w:rsid w:val="00487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DDF"/>
    <w:rPr>
      <w:rFonts w:ascii="Segoe UI" w:hAnsi="Segoe UI" w:cs="Segoe UI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TimelessLetter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7F216A1A-1C43-443B-8ED7-1A415C322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TimelessLetter</Template>
  <TotalTime>24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MarieA</dc:creator>
  <cp:keywords/>
  <cp:lastModifiedBy>MarieA</cp:lastModifiedBy>
  <cp:revision>7</cp:revision>
  <cp:lastPrinted>2019-03-19T19:10:00Z</cp:lastPrinted>
  <dcterms:created xsi:type="dcterms:W3CDTF">2019-03-19T18:51:00Z</dcterms:created>
  <dcterms:modified xsi:type="dcterms:W3CDTF">2019-03-19T19:15:00Z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